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C5B28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4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 w14:paraId="7877F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8B8C8D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4ED7229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0C62192A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秦山春晓——中国核电人40年的求索之路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2F29D96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3F8454F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7E4C7A41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深度报道</w:t>
            </w:r>
          </w:p>
        </w:tc>
      </w:tr>
      <w:tr w14:paraId="0D6AA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C42419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3D5CA4E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66D14B00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3767；3776；3634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20BEB545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3DE4792A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6D39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675945A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07A68372">
            <w:pPr>
              <w:spacing w:line="38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22A6AC00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5F0830FD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中文</w:t>
            </w:r>
          </w:p>
        </w:tc>
      </w:tr>
      <w:tr w14:paraId="53570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2F0A98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D4C59A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5B87D5AF"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集体（朱胜伟、朱鑫、邓雪珂、丁思源、黄烨、孔嘉敏、陈曦、谭罗敏、陈强、沈哲韬、王国伟、周祎欣、李舟英、张奎超）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A4F8268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03AE30A3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集体（范国良、何百林、余婷婷、张琳、聂海峰、吴晓宇）</w:t>
            </w:r>
          </w:p>
        </w:tc>
      </w:tr>
      <w:tr w14:paraId="71635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9A0861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DA1787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2E23DA7D">
            <w:pPr>
              <w:spacing w:line="260" w:lineRule="exact"/>
              <w:rPr>
                <w:rFonts w:hint="eastAsia" w:ascii="方正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</w:rPr>
              <w:t>嘉兴市新闻传媒中心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7C2F16D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4EF6270E">
            <w:pPr>
              <w:spacing w:line="260" w:lineRule="exact"/>
              <w:rPr>
                <w:rFonts w:hint="eastAsia"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24C2F013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读嘉新闻客户端</w:t>
            </w:r>
          </w:p>
        </w:tc>
      </w:tr>
      <w:tr w14:paraId="49CB1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4354DA2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44D57A8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vAlign w:val="center"/>
          </w:tcPr>
          <w:p w14:paraId="6D3CBD50">
            <w:pPr>
              <w:spacing w:line="260" w:lineRule="exact"/>
              <w:rPr>
                <w:rFonts w:hint="eastAsia" w:ascii="方正仿宋_GB2312" w:hAnsi="仿宋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E9959C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发布日期</w:t>
            </w:r>
          </w:p>
        </w:tc>
        <w:tc>
          <w:tcPr>
            <w:tcW w:w="4221" w:type="dxa"/>
            <w:gridSpan w:val="4"/>
            <w:tcBorders>
              <w:tl2br w:val="nil"/>
              <w:tr2bl w:val="nil"/>
            </w:tcBorders>
            <w:vAlign w:val="center"/>
          </w:tcPr>
          <w:p w14:paraId="316D2155">
            <w:pPr>
              <w:spacing w:line="260" w:lineRule="exact"/>
              <w:rPr>
                <w:rFonts w:hint="eastAsia"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2025年3月20日至2025年12月15日</w:t>
            </w:r>
          </w:p>
        </w:tc>
      </w:tr>
      <w:tr w14:paraId="4E32C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40CD17F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ascii="华文中宋" w:hAnsi="华文中宋" w:eastAsia="华文中宋"/>
                <w:color w:val="000000"/>
                <w:sz w:val="24"/>
                <w:szCs w:val="21"/>
              </w:rPr>
              <w:t>作品</w:t>
            </w:r>
          </w:p>
          <w:p w14:paraId="0E045D0B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链接</w:t>
            </w:r>
          </w:p>
        </w:tc>
        <w:tc>
          <w:tcPr>
            <w:tcW w:w="5035" w:type="dxa"/>
            <w:gridSpan w:val="5"/>
            <w:tcBorders>
              <w:tl2br w:val="nil"/>
              <w:tr2bl w:val="nil"/>
            </w:tcBorders>
            <w:vAlign w:val="center"/>
          </w:tcPr>
          <w:p w14:paraId="46BBEB5B">
            <w:pPr>
              <w:spacing w:line="260" w:lineRule="exact"/>
            </w:pPr>
            <w:r>
              <w:fldChar w:fldCharType="begin"/>
            </w:r>
            <w:r>
              <w:instrText xml:space="preserve"> HYPERLINK "https://app.jiaxingren.com/news?id=393382&amp;app_jump=1" </w:instrText>
            </w:r>
            <w:r>
              <w:fldChar w:fldCharType="separate"/>
            </w:r>
            <w:r>
              <w:rPr>
                <w:rStyle w:val="6"/>
                <w:rFonts w:ascii="宋体" w:hAnsi="宋体" w:eastAsia="宋体"/>
                <w:sz w:val="21"/>
                <w:szCs w:val="21"/>
              </w:rPr>
              <w:t>https://app.jiaxingren.com/news?id=393382&amp;app_jump=1</w:t>
            </w:r>
            <w:r>
              <w:rPr>
                <w:rStyle w:val="6"/>
                <w:rFonts w:ascii="宋体" w:hAnsi="宋体" w:eastAsia="宋体"/>
                <w:sz w:val="21"/>
                <w:szCs w:val="21"/>
              </w:rPr>
              <w:fldChar w:fldCharType="end"/>
            </w:r>
          </w:p>
          <w:p w14:paraId="6AD46621">
            <w:pPr>
              <w:spacing w:line="260" w:lineRule="exac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-897255</wp:posOffset>
                  </wp:positionH>
                  <wp:positionV relativeFrom="paragraph">
                    <wp:posOffset>78740</wp:posOffset>
                  </wp:positionV>
                  <wp:extent cx="819150" cy="836930"/>
                  <wp:effectExtent l="0" t="0" r="0" b="1270"/>
                  <wp:wrapThrough wrapText="bothSides">
                    <wp:wrapPolygon>
                      <wp:start x="0" y="0"/>
                      <wp:lineTo x="0" y="21141"/>
                      <wp:lineTo x="21098" y="21141"/>
                      <wp:lineTo x="21098" y="0"/>
                      <wp:lineTo x="0" y="0"/>
                    </wp:wrapPolygon>
                  </wp:wrapThrough>
                  <wp:docPr id="182510567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10567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3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0314109">
            <w:pPr>
              <w:spacing w:line="260" w:lineRule="exac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68FFB535">
            <w:pPr>
              <w:spacing w:line="260" w:lineRule="exact"/>
            </w:pPr>
            <w:r>
              <w:fldChar w:fldCharType="begin"/>
            </w:r>
            <w:r>
              <w:instrText xml:space="preserve"> HYPERLINK "https://app.jiaxingren.com/news?id=465635&amp;app_jump=1" </w:instrText>
            </w:r>
            <w:r>
              <w:fldChar w:fldCharType="separate"/>
            </w:r>
            <w:r>
              <w:rPr>
                <w:rStyle w:val="6"/>
                <w:rFonts w:ascii="宋体" w:hAnsi="宋体" w:eastAsia="宋体"/>
                <w:sz w:val="21"/>
                <w:szCs w:val="21"/>
              </w:rPr>
              <w:t>https://app.jiaxingren.com/news?id=465635&amp;app_jump=1</w:t>
            </w:r>
            <w:r>
              <w:rPr>
                <w:rStyle w:val="6"/>
                <w:rFonts w:ascii="宋体" w:hAnsi="宋体" w:eastAsia="宋体"/>
                <w:sz w:val="21"/>
                <w:szCs w:val="21"/>
              </w:rPr>
              <w:fldChar w:fldCharType="end"/>
            </w:r>
          </w:p>
          <w:p w14:paraId="0BC4E7CA">
            <w:pPr>
              <w:spacing w:line="260" w:lineRule="exac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72390</wp:posOffset>
                  </wp:positionV>
                  <wp:extent cx="778510" cy="771525"/>
                  <wp:effectExtent l="0" t="0" r="2540" b="9525"/>
                  <wp:wrapThrough wrapText="bothSides">
                    <wp:wrapPolygon>
                      <wp:start x="0" y="0"/>
                      <wp:lineTo x="0" y="21333"/>
                      <wp:lineTo x="21142" y="21333"/>
                      <wp:lineTo x="21142" y="0"/>
                      <wp:lineTo x="0" y="0"/>
                    </wp:wrapPolygon>
                  </wp:wrapThrough>
                  <wp:docPr id="201302104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02104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1A4BDEC">
            <w:pPr>
              <w:spacing w:line="260" w:lineRule="exac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7A4BDA07">
            <w:pPr>
              <w:spacing w:line="260" w:lineRule="exact"/>
            </w:pPr>
            <w:r>
              <w:fldChar w:fldCharType="begin"/>
            </w:r>
            <w:r>
              <w:instrText xml:space="preserve"> HYPERLINK "https://app.jiaxingren.com/news?id=504879&amp;from_channel=63c7a30c0baf61400d096173&amp;top_id=504908" </w:instrText>
            </w:r>
            <w:r>
              <w:fldChar w:fldCharType="separate"/>
            </w:r>
            <w:r>
              <w:rPr>
                <w:rStyle w:val="6"/>
                <w:rFonts w:ascii="宋体" w:hAnsi="宋体" w:eastAsia="宋体"/>
                <w:sz w:val="21"/>
                <w:szCs w:val="21"/>
              </w:rPr>
              <w:t>https://app.jiaxingren.com/news?id=504879&amp;from_channel=63c7a30c0baf61400d096173&amp;top_id=504908</w:t>
            </w:r>
            <w:r>
              <w:rPr>
                <w:rStyle w:val="6"/>
                <w:rFonts w:ascii="宋体" w:hAnsi="宋体" w:eastAsia="宋体"/>
                <w:sz w:val="21"/>
                <w:szCs w:val="21"/>
              </w:rPr>
              <w:fldChar w:fldCharType="end"/>
            </w:r>
          </w:p>
          <w:p w14:paraId="4EEF029E">
            <w:pPr>
              <w:spacing w:line="260" w:lineRule="exact"/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-847725</wp:posOffset>
                  </wp:positionH>
                  <wp:positionV relativeFrom="paragraph">
                    <wp:posOffset>67945</wp:posOffset>
                  </wp:positionV>
                  <wp:extent cx="752475" cy="774700"/>
                  <wp:effectExtent l="0" t="0" r="9525" b="6350"/>
                  <wp:wrapThrough wrapText="bothSides">
                    <wp:wrapPolygon>
                      <wp:start x="0" y="0"/>
                      <wp:lineTo x="0" y="21246"/>
                      <wp:lineTo x="21327" y="21246"/>
                      <wp:lineTo x="21327" y="0"/>
                      <wp:lineTo x="0" y="0"/>
                    </wp:wrapPolygon>
                  </wp:wrapThrough>
                  <wp:docPr id="94817666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17666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52475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9B8A7AF">
            <w:pPr>
              <w:spacing w:line="260" w:lineRule="exac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469EB093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15740BE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76619B6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676C6774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否</w:t>
            </w:r>
          </w:p>
        </w:tc>
      </w:tr>
      <w:tr w14:paraId="078C1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36E0F4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488E918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070096C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70ED343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001E008F">
            <w:pPr>
              <w:spacing w:line="360" w:lineRule="exact"/>
              <w:ind w:firstLine="4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电是大国重器，坚持核电自主化发展关乎国家能源安全、科技自立自强和高质量发展。1985年3月20日,中国大陆首座核电站在秦山脚下浇筑第一罐混凝土，这就像一支报春曲，奏响了我国核电事业的春天。老一辈核电人就此立下“秦山春晓”纪念碑。</w:t>
            </w:r>
          </w:p>
          <w:p w14:paraId="59ECD256">
            <w:pPr>
              <w:spacing w:line="360" w:lineRule="exact"/>
              <w:ind w:firstLine="4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年来，秦山已向国内外输送3500余名核电人才，见证了中国核电事业从“白手起家”到“走向世界”的逆袭之路，秦山核电站因此被誉为“国之光荣”。该作品深度聚焦从秦山成长起来的核电人，受访者超过30人，年龄跨度从“30后”到“00后”。通过他们的故事，反映了我国核电事业的求索历程和科技自立自强的硬核实力。</w:t>
            </w:r>
          </w:p>
          <w:p w14:paraId="3D4C83E6">
            <w:pPr>
              <w:spacing w:line="360" w:lineRule="exact"/>
              <w:ind w:firstLine="4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采访历时近一年，为全面呈现各主流核电堆型与核技术应用全领域的技术演进，梳理自主化核电发展之路，团队辗转8个城市、深入6个核电基地调研，开展10多场深度访谈，并远程连线联合国相关机构、出口核电项目等，采集了大量影像资料、口述实录等。</w:t>
            </w:r>
          </w:p>
          <w:p w14:paraId="7B56FE01">
            <w:pPr>
              <w:spacing w:line="360" w:lineRule="exact"/>
              <w:ind w:firstLine="4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该作品主题重大、内容厚重、表达创新，一经刊发便引起社会高度关注。国家核安全局、中核集团大力支持、转载，中国核电及各核电公司对每期报道进行了转发，经济网、凤凰网、潮新闻等10余家媒体也予以转发。有读者留言：“感谢记者的报道，为核电人自豪，更为他们骄傲！”</w:t>
            </w:r>
            <w:bookmarkStart w:id="0" w:name="_GoBack"/>
            <w:bookmarkEnd w:id="0"/>
          </w:p>
        </w:tc>
      </w:tr>
      <w:tr w14:paraId="7913F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032ED03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599716F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55F1035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23DE71E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74E604EB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274E1602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421" w:type="dxa"/>
            <w:gridSpan w:val="7"/>
            <w:tcBorders>
              <w:tl2br w:val="nil"/>
              <w:tr2bl w:val="nil"/>
            </w:tcBorders>
            <w:vAlign w:val="center"/>
          </w:tcPr>
          <w:p w14:paraId="5ABCA5D6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6"/>
                <w:sz w:val="24"/>
                <w:szCs w:val="24"/>
                <w:lang w:bidi="ar"/>
              </w:rPr>
              <w:t>https://app.jiaxingren.com/news?id=393382&amp;app_jump=1</w:t>
            </w:r>
          </w:p>
        </w:tc>
      </w:tr>
      <w:tr w14:paraId="4EC00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A54226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643EACED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694850A1">
            <w:pPr>
              <w:spacing w:line="240" w:lineRule="exact"/>
              <w:jc w:val="center"/>
              <w:rPr>
                <w:rFonts w:hint="eastAsia" w:ascii="仿宋" w:hAnsi="仿宋" w:eastAsia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 w14:paraId="66281A88">
            <w:pPr>
              <w:spacing w:line="240" w:lineRule="exact"/>
              <w:ind w:firstLine="240" w:firstLineChars="100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31.2万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11ED8B5D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5EFA605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14:paraId="08A6791C">
            <w:pPr>
              <w:spacing w:line="240" w:lineRule="exact"/>
              <w:ind w:firstLine="480" w:firstLineChars="200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6125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08D171A9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1AFDD32D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150.7万</w:t>
            </w:r>
          </w:p>
        </w:tc>
      </w:tr>
      <w:tr w14:paraId="121F7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8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8B42DE6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3D6A9DA6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1D0804F5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4D1E28A3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5774736E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7F9EF088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︶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31FFF2FD">
            <w:pPr>
              <w:spacing w:line="360" w:lineRule="exact"/>
              <w:ind w:firstLine="4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当前，我国正由核电大国迈向核电强国，核电总体规模跃居世界第一。该作品不仅是对中国核电发展史的线性梳理，更是对一代代中国核电人精神内核的立体刻画，深度呈现了我国核电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事业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40年来的探索和成就，兼具新闻价值和时代意义。</w:t>
            </w:r>
          </w:p>
          <w:p w14:paraId="610FA0D4">
            <w:pPr>
              <w:spacing w:line="360" w:lineRule="exact"/>
              <w:ind w:firstLine="4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一是主题重大。采访团队历时近一年，通过走访全国各类主流核电堆型，全方位展现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我国核电事业从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单一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发电到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核能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综合利用的立体化创新格局，深刻诠释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“强核报国、创新奉献”的新时代核工业精神，体现国家战略和科技自立自强的时代主题。</w:t>
            </w:r>
          </w:p>
          <w:p w14:paraId="762C868F">
            <w:pPr>
              <w:spacing w:line="360" w:lineRule="exact"/>
              <w:ind w:firstLine="42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二是视角独特。目前，我国核电多路径自主创新齐头并进，小型模块堆等新型反应堆技术加快布局，核能发电、供热、制药等综合利用更加多元。主创团队精心梳理从秦山成长起来的核电人，以他们的讲述作为切入点，串联核电技术的历史演进，并辅以留言墙、大事记等新闻链接内容，巧妙平衡了专业性与可读性，让报道不仅呈现“是什么”，还能解答“为什么”。</w:t>
            </w:r>
          </w:p>
          <w:p w14:paraId="7A2D4D1D">
            <w:pPr>
              <w:spacing w:line="360" w:lineRule="exact"/>
              <w:ind w:firstLine="4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是富有特色。该作品整合文字报道、档案图片、人物留言、视频元素等，以融媒形式呈现于新闻客户端，还推出了融合报道《寻“秦”记：中国硬核故事》，并制作报道集，捐赠给学校、图书馆等，进一步增强了可看性和传播力。</w:t>
            </w:r>
          </w:p>
          <w:p w14:paraId="49D6A6C1"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 w14:paraId="269E6A82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28ADC795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4228A2E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4651D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F9"/>
    <w:rsid w:val="000564A1"/>
    <w:rsid w:val="0008651C"/>
    <w:rsid w:val="00100CAE"/>
    <w:rsid w:val="0024508F"/>
    <w:rsid w:val="00375CF9"/>
    <w:rsid w:val="00383FFC"/>
    <w:rsid w:val="003A15A5"/>
    <w:rsid w:val="004B47FB"/>
    <w:rsid w:val="005464A2"/>
    <w:rsid w:val="0086605E"/>
    <w:rsid w:val="00AC03ED"/>
    <w:rsid w:val="00AD47C7"/>
    <w:rsid w:val="00C405FF"/>
    <w:rsid w:val="00DE1CB3"/>
    <w:rsid w:val="02C54E1D"/>
    <w:rsid w:val="0C5B2A77"/>
    <w:rsid w:val="103E4A53"/>
    <w:rsid w:val="15686CA5"/>
    <w:rsid w:val="185174F9"/>
    <w:rsid w:val="19E67FCC"/>
    <w:rsid w:val="1FD95F9A"/>
    <w:rsid w:val="24E452FA"/>
    <w:rsid w:val="291819B2"/>
    <w:rsid w:val="2F0B6CAB"/>
    <w:rsid w:val="2FAE70E8"/>
    <w:rsid w:val="33363900"/>
    <w:rsid w:val="4B8F7AF3"/>
    <w:rsid w:val="4CA94913"/>
    <w:rsid w:val="53922BE9"/>
    <w:rsid w:val="5B492DB0"/>
    <w:rsid w:val="5D250E1A"/>
    <w:rsid w:val="613E564E"/>
    <w:rsid w:val="690055A6"/>
    <w:rsid w:val="6AC77FD1"/>
    <w:rsid w:val="6DE33321"/>
    <w:rsid w:val="70CD2B43"/>
    <w:rsid w:val="73F26870"/>
    <w:rsid w:val="7891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1283</Words>
  <Characters>1572</Characters>
  <Lines>267</Lines>
  <Paragraphs>248</Paragraphs>
  <TotalTime>17</TotalTime>
  <ScaleCrop>false</ScaleCrop>
  <LinksUpToDate>false</LinksUpToDate>
  <CharactersWithSpaces>1674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广健</cp:lastModifiedBy>
  <dcterms:modified xsi:type="dcterms:W3CDTF">2026-05-11T01:31:32Z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eyJoZGlkIjoiM2YyNWI5NzhkNGNkZTE5NDlhYTM0YzI0MDJiNWQ4NzUiLCJ1c2VySWQiOiIxNTg4OTQyNTg4In0=</vt:lpwstr>
  </property>
  <property fmtid="{D5CDD505-2E9C-101B-9397-08002B2CF9AE}" pid="4" name="ICV">
    <vt:lpwstr>D1E8F804244740EF9C47E280E765C5A0_12</vt:lpwstr>
  </property>
</Properties>
</file>